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90" w:rsidRDefault="007C3090" w:rsidP="007C3090"/>
    <w:p w:rsidR="001B2C85" w:rsidRDefault="001B2C85" w:rsidP="00B3125C">
      <w:pPr>
        <w:pStyle w:val="Textoindependiente"/>
        <w:spacing w:before="0" w:after="0" w:line="288" w:lineRule="auto"/>
        <w:rPr>
          <w:szCs w:val="22"/>
        </w:rPr>
      </w:pPr>
    </w:p>
    <w:p w:rsidR="00B51600" w:rsidRPr="001E5522" w:rsidRDefault="007C3090" w:rsidP="0007546B">
      <w:pPr>
        <w:pStyle w:val="Textoindependiente"/>
        <w:spacing w:before="0" w:after="0" w:line="288" w:lineRule="auto"/>
        <w:ind w:firstLine="708"/>
        <w:rPr>
          <w:rFonts w:cs="Arial"/>
          <w:szCs w:val="22"/>
        </w:rPr>
      </w:pPr>
      <w:r w:rsidRPr="001E5522">
        <w:rPr>
          <w:rFonts w:cs="Arial"/>
          <w:szCs w:val="22"/>
        </w:rPr>
        <w:t xml:space="preserve">ASUNTO: </w:t>
      </w:r>
      <w:r w:rsidR="00B51600" w:rsidRPr="001E5522">
        <w:rPr>
          <w:rFonts w:cs="Arial"/>
          <w:szCs w:val="22"/>
        </w:rPr>
        <w:t>“</w:t>
      </w:r>
      <w:r w:rsidR="004B5BC5">
        <w:rPr>
          <w:rFonts w:cs="Arial"/>
          <w:iCs/>
        </w:rPr>
        <w:t>PROYECTO DE DECRETO POR EL QUE SE REGULA EL REGISTRO ELECTRÓNICO DE INSTRUMENTOS DE COOPERACIÓN DE LA ADMINISTRACIÓN DE LA COMUNIDAD DE CASTILLA Y LEÓN</w:t>
      </w:r>
      <w:r w:rsidR="0007546B" w:rsidRPr="001E5522">
        <w:rPr>
          <w:rFonts w:cs="Arial"/>
          <w:szCs w:val="22"/>
        </w:rPr>
        <w:t>”.</w:t>
      </w:r>
    </w:p>
    <w:p w:rsidR="00B3125C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4B5BC5" w:rsidRDefault="00B51600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B51600">
        <w:rPr>
          <w:rFonts w:ascii="Arial" w:hAnsi="Arial" w:cs="Arial"/>
          <w:sz w:val="22"/>
          <w:szCs w:val="22"/>
        </w:rPr>
        <w:t xml:space="preserve">Visto el proyecto de referencia remitido por la </w:t>
      </w:r>
      <w:r w:rsidR="00867131">
        <w:rPr>
          <w:rFonts w:ascii="Arial" w:hAnsi="Arial" w:cs="Arial"/>
          <w:sz w:val="22"/>
          <w:szCs w:val="22"/>
        </w:rPr>
        <w:t xml:space="preserve">Consejería de </w:t>
      </w:r>
      <w:r w:rsidR="00574937">
        <w:rPr>
          <w:rFonts w:ascii="Arial" w:hAnsi="Arial" w:cs="Arial"/>
          <w:sz w:val="22"/>
          <w:szCs w:val="22"/>
        </w:rPr>
        <w:t xml:space="preserve">la </w:t>
      </w:r>
      <w:r w:rsidR="006C3CBC">
        <w:rPr>
          <w:rFonts w:ascii="Arial" w:hAnsi="Arial" w:cs="Arial"/>
          <w:sz w:val="22"/>
          <w:szCs w:val="22"/>
        </w:rPr>
        <w:t>Presidencia</w:t>
      </w:r>
      <w:r w:rsidRPr="00B51600">
        <w:rPr>
          <w:rFonts w:ascii="Arial" w:hAnsi="Arial" w:cs="Arial"/>
          <w:sz w:val="22"/>
          <w:szCs w:val="22"/>
        </w:rPr>
        <w:t xml:space="preserve">, de acuerdo con lo dispuesto en los artículos 75.6 y 76 de la Ley 3/2001, de 3 de julio, del Gobierno y de la Administración de la Comunidad de Castilla y León, </w:t>
      </w:r>
      <w:r w:rsidR="00B3125C">
        <w:rPr>
          <w:rFonts w:ascii="Arial" w:hAnsi="Arial" w:cs="Arial"/>
          <w:sz w:val="22"/>
          <w:szCs w:val="22"/>
        </w:rPr>
        <w:t>este</w:t>
      </w:r>
      <w:r w:rsidR="004B5BC5">
        <w:rPr>
          <w:rFonts w:ascii="Arial" w:hAnsi="Arial" w:cs="Arial"/>
          <w:sz w:val="22"/>
          <w:szCs w:val="22"/>
        </w:rPr>
        <w:t xml:space="preserve"> Servicios estima oportuna formulara las siguientes consideraciones:</w:t>
      </w:r>
    </w:p>
    <w:p w:rsidR="00EE7E71" w:rsidRDefault="00977E68" w:rsidP="00EE7E71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quinto p</w:t>
      </w:r>
      <w:r w:rsidR="00EE7E71">
        <w:rPr>
          <w:rFonts w:ascii="Arial" w:hAnsi="Arial" w:cs="Arial"/>
          <w:sz w:val="22"/>
          <w:szCs w:val="22"/>
        </w:rPr>
        <w:t xml:space="preserve">árrafo </w:t>
      </w:r>
      <w:r>
        <w:rPr>
          <w:rFonts w:ascii="Arial" w:hAnsi="Arial" w:cs="Arial"/>
          <w:sz w:val="22"/>
          <w:szCs w:val="22"/>
        </w:rPr>
        <w:t xml:space="preserve">de la exposición de motivos se prevé </w:t>
      </w:r>
      <w:r w:rsidR="00EE7E71">
        <w:rPr>
          <w:rFonts w:ascii="Arial" w:hAnsi="Arial" w:cs="Arial"/>
          <w:sz w:val="22"/>
          <w:szCs w:val="22"/>
        </w:rPr>
        <w:t>que uno d</w:t>
      </w:r>
      <w:r>
        <w:rPr>
          <w:rFonts w:ascii="Arial" w:hAnsi="Arial" w:cs="Arial"/>
          <w:sz w:val="22"/>
          <w:szCs w:val="22"/>
        </w:rPr>
        <w:t>e</w:t>
      </w:r>
      <w:r w:rsidR="00EE7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los objetivos del Decreto es </w:t>
      </w:r>
      <w:r w:rsidR="00EE7E71">
        <w:rPr>
          <w:rFonts w:ascii="Arial" w:hAnsi="Arial" w:cs="Arial"/>
          <w:sz w:val="22"/>
          <w:szCs w:val="22"/>
        </w:rPr>
        <w:t>posibilitar</w:t>
      </w:r>
      <w:r>
        <w:rPr>
          <w:rFonts w:ascii="Arial" w:hAnsi="Arial" w:cs="Arial"/>
          <w:sz w:val="22"/>
          <w:szCs w:val="22"/>
        </w:rPr>
        <w:t xml:space="preserve"> un registro diferenciado para los convenios </w:t>
      </w:r>
      <w:r w:rsidR="00EE7E71">
        <w:rPr>
          <w:rFonts w:ascii="Arial" w:hAnsi="Arial" w:cs="Arial"/>
          <w:sz w:val="22"/>
          <w:szCs w:val="22"/>
        </w:rPr>
        <w:t>administrativos</w:t>
      </w:r>
      <w:r>
        <w:rPr>
          <w:rFonts w:ascii="Arial" w:hAnsi="Arial" w:cs="Arial"/>
          <w:sz w:val="22"/>
          <w:szCs w:val="22"/>
        </w:rPr>
        <w:t xml:space="preserve"> </w:t>
      </w:r>
      <w:r w:rsidR="00EE7E71">
        <w:rPr>
          <w:rFonts w:ascii="Arial" w:hAnsi="Arial" w:cs="Arial"/>
          <w:sz w:val="22"/>
          <w:szCs w:val="22"/>
        </w:rPr>
        <w:t>respecto</w:t>
      </w:r>
      <w:r>
        <w:rPr>
          <w:rFonts w:ascii="Arial" w:hAnsi="Arial" w:cs="Arial"/>
          <w:sz w:val="22"/>
          <w:szCs w:val="22"/>
        </w:rPr>
        <w:t xml:space="preserve"> de otras figuras afines. De</w:t>
      </w:r>
      <w:r w:rsidR="00EE7E71">
        <w:rPr>
          <w:rFonts w:ascii="Arial" w:hAnsi="Arial" w:cs="Arial"/>
          <w:sz w:val="22"/>
          <w:szCs w:val="22"/>
        </w:rPr>
        <w:t xml:space="preserve"> acuerdo con la redacción de ese</w:t>
      </w:r>
      <w:r>
        <w:rPr>
          <w:rFonts w:ascii="Arial" w:hAnsi="Arial" w:cs="Arial"/>
          <w:sz w:val="22"/>
          <w:szCs w:val="22"/>
        </w:rPr>
        <w:t xml:space="preserve"> </w:t>
      </w:r>
      <w:r w:rsidR="00EE7E71">
        <w:rPr>
          <w:rFonts w:ascii="Arial" w:hAnsi="Arial" w:cs="Arial"/>
          <w:sz w:val="22"/>
          <w:szCs w:val="22"/>
        </w:rPr>
        <w:t>párrafo parece</w:t>
      </w:r>
      <w:r>
        <w:rPr>
          <w:rFonts w:ascii="Arial" w:hAnsi="Arial" w:cs="Arial"/>
          <w:sz w:val="22"/>
          <w:szCs w:val="22"/>
        </w:rPr>
        <w:t xml:space="preserve"> </w:t>
      </w:r>
      <w:r w:rsidR="00EE7E71">
        <w:rPr>
          <w:rFonts w:ascii="Arial" w:hAnsi="Arial" w:cs="Arial"/>
          <w:sz w:val="22"/>
          <w:szCs w:val="22"/>
        </w:rPr>
        <w:t>desprenderse</w:t>
      </w:r>
      <w:r>
        <w:rPr>
          <w:rFonts w:ascii="Arial" w:hAnsi="Arial" w:cs="Arial"/>
          <w:sz w:val="22"/>
          <w:szCs w:val="22"/>
        </w:rPr>
        <w:t xml:space="preserve"> que habrá dos registros: uno para convenios y otros para el resto de figuras. Sin </w:t>
      </w:r>
      <w:r w:rsidR="00EE7E71">
        <w:rPr>
          <w:rFonts w:ascii="Arial" w:hAnsi="Arial" w:cs="Arial"/>
          <w:sz w:val="22"/>
          <w:szCs w:val="22"/>
        </w:rPr>
        <w:t>embargo en el articulado del Proyecto</w:t>
      </w:r>
      <w:r>
        <w:rPr>
          <w:rFonts w:ascii="Arial" w:hAnsi="Arial" w:cs="Arial"/>
          <w:sz w:val="22"/>
          <w:szCs w:val="22"/>
        </w:rPr>
        <w:t xml:space="preserve"> se prevé un </w:t>
      </w:r>
      <w:r w:rsidR="00EE7E71">
        <w:rPr>
          <w:rFonts w:ascii="Arial" w:hAnsi="Arial" w:cs="Arial"/>
          <w:sz w:val="22"/>
          <w:szCs w:val="22"/>
        </w:rPr>
        <w:t>único</w:t>
      </w:r>
      <w:r>
        <w:rPr>
          <w:rFonts w:ascii="Arial" w:hAnsi="Arial" w:cs="Arial"/>
          <w:sz w:val="22"/>
          <w:szCs w:val="22"/>
        </w:rPr>
        <w:t xml:space="preserve"> </w:t>
      </w:r>
      <w:r w:rsidR="00EE7E71">
        <w:rPr>
          <w:rFonts w:ascii="Arial" w:hAnsi="Arial" w:cs="Arial"/>
          <w:sz w:val="22"/>
          <w:szCs w:val="22"/>
        </w:rPr>
        <w:t>Registro</w:t>
      </w:r>
      <w:r>
        <w:rPr>
          <w:rFonts w:ascii="Arial" w:hAnsi="Arial" w:cs="Arial"/>
          <w:sz w:val="22"/>
          <w:szCs w:val="22"/>
        </w:rPr>
        <w:t xml:space="preserve"> pa</w:t>
      </w:r>
      <w:r w:rsidR="00EE7E71">
        <w:rPr>
          <w:rFonts w:ascii="Arial" w:hAnsi="Arial" w:cs="Arial"/>
          <w:sz w:val="22"/>
          <w:szCs w:val="22"/>
        </w:rPr>
        <w:t>ra los convenios y el resto de figuras. Es por ello por lo que se propone una r</w:t>
      </w:r>
      <w:r w:rsidR="00A12791">
        <w:rPr>
          <w:rFonts w:ascii="Arial" w:hAnsi="Arial" w:cs="Arial"/>
          <w:sz w:val="22"/>
          <w:szCs w:val="22"/>
        </w:rPr>
        <w:t>edacción más aclaratoria</w:t>
      </w:r>
      <w:r w:rsidR="00EE7E71">
        <w:rPr>
          <w:rFonts w:ascii="Arial" w:hAnsi="Arial" w:cs="Arial"/>
          <w:sz w:val="22"/>
          <w:szCs w:val="22"/>
        </w:rPr>
        <w:t xml:space="preserve"> del citado párrafo de la exposición de motivos.</w:t>
      </w:r>
    </w:p>
    <w:p w:rsidR="00EE7E71" w:rsidRDefault="00EE7E71" w:rsidP="00EE7E71">
      <w:pPr>
        <w:pStyle w:val="Prrafodelista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:rsidR="00EE7E71" w:rsidRPr="00A12791" w:rsidRDefault="00EE7E71" w:rsidP="00EE7E71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EE7E71">
        <w:rPr>
          <w:rFonts w:ascii="Arial" w:hAnsi="Arial" w:cs="Arial"/>
          <w:sz w:val="22"/>
          <w:szCs w:val="22"/>
        </w:rPr>
        <w:t xml:space="preserve">El artículo 2.1 al referirse a las entidades del sector público </w:t>
      </w:r>
      <w:r>
        <w:rPr>
          <w:rFonts w:ascii="Arial" w:hAnsi="Arial" w:cs="Arial"/>
          <w:sz w:val="22"/>
          <w:szCs w:val="22"/>
        </w:rPr>
        <w:t>institucional</w:t>
      </w:r>
      <w:r w:rsidRPr="00EE7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la </w:t>
      </w:r>
      <w:r w:rsidRPr="00EE7E71">
        <w:rPr>
          <w:rFonts w:ascii="Arial" w:hAnsi="Arial" w:cs="Arial"/>
          <w:sz w:val="22"/>
          <w:szCs w:val="22"/>
        </w:rPr>
        <w:t>Comunidad remite al artículo 82 de la</w:t>
      </w:r>
      <w:r>
        <w:rPr>
          <w:rFonts w:ascii="Arial" w:hAnsi="Arial" w:cs="Arial"/>
          <w:sz w:val="22"/>
          <w:szCs w:val="22"/>
        </w:rPr>
        <w:t xml:space="preserve"> </w:t>
      </w:r>
      <w:r w:rsidR="00A12791">
        <w:rPr>
          <w:rFonts w:ascii="Arial" w:hAnsi="Arial" w:cs="Arial"/>
          <w:sz w:val="22"/>
          <w:szCs w:val="22"/>
        </w:rPr>
        <w:t>L</w:t>
      </w:r>
      <w:r w:rsidRPr="00EE7E71">
        <w:rPr>
          <w:rFonts w:ascii="Arial" w:hAnsi="Arial" w:cs="Arial"/>
          <w:sz w:val="22"/>
          <w:szCs w:val="22"/>
        </w:rPr>
        <w:t>ey 40/2015. Se propone que la remisión</w:t>
      </w:r>
      <w:r>
        <w:rPr>
          <w:rFonts w:ascii="Arial" w:hAnsi="Arial" w:cs="Arial"/>
          <w:sz w:val="22"/>
          <w:szCs w:val="22"/>
        </w:rPr>
        <w:t xml:space="preserve"> se haga al artículo 2.2 de la </w:t>
      </w:r>
      <w:r w:rsidR="00A1279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ey 2/2006, de 3</w:t>
      </w:r>
      <w:r w:rsidR="00A12791">
        <w:rPr>
          <w:rFonts w:ascii="Arial" w:hAnsi="Arial" w:cs="Arial"/>
          <w:sz w:val="22"/>
          <w:szCs w:val="22"/>
        </w:rPr>
        <w:t xml:space="preserve"> de mayo, de la Hacienda y del S</w:t>
      </w:r>
      <w:r>
        <w:rPr>
          <w:rFonts w:ascii="Arial" w:hAnsi="Arial" w:cs="Arial"/>
          <w:sz w:val="22"/>
          <w:szCs w:val="22"/>
        </w:rPr>
        <w:t>ector Público de la Comunidad de Castilla y león, el cual en su redacción actual dispone: “</w:t>
      </w:r>
      <w:r w:rsidRPr="00A12791">
        <w:rPr>
          <w:rFonts w:ascii="Arial" w:hAnsi="Arial" w:cs="Arial"/>
          <w:i/>
          <w:sz w:val="22"/>
          <w:szCs w:val="22"/>
        </w:rPr>
        <w:t>El Sector Público Institucional de la Comunidad se integra por:</w:t>
      </w:r>
    </w:p>
    <w:p w:rsidR="00EE7E71" w:rsidRPr="00A12791" w:rsidRDefault="00EE7E71" w:rsidP="00EE7E71">
      <w:pPr>
        <w:pStyle w:val="Prrafodelista"/>
        <w:spacing w:line="320" w:lineRule="exact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A12791">
        <w:rPr>
          <w:rFonts w:ascii="Arial" w:hAnsi="Arial" w:cs="Arial"/>
          <w:i/>
          <w:sz w:val="22"/>
          <w:szCs w:val="22"/>
        </w:rPr>
        <w:t>a) Los Organismos Autónomos y los entes públicos de derecho privado integrantes de la Administración Institucional de la Comunidad.</w:t>
      </w:r>
    </w:p>
    <w:p w:rsidR="00EE7E71" w:rsidRPr="00A12791" w:rsidRDefault="00EE7E71" w:rsidP="00EE7E71">
      <w:pPr>
        <w:pStyle w:val="Prrafodelista"/>
        <w:spacing w:line="320" w:lineRule="exact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A12791">
        <w:rPr>
          <w:rFonts w:ascii="Arial" w:hAnsi="Arial" w:cs="Arial"/>
          <w:i/>
          <w:sz w:val="22"/>
          <w:szCs w:val="22"/>
        </w:rPr>
        <w:t>b) Las empresas públicas de la Comunidad.</w:t>
      </w:r>
    </w:p>
    <w:p w:rsidR="00EE7E71" w:rsidRPr="00A12791" w:rsidRDefault="00EE7E71" w:rsidP="00EE7E71">
      <w:pPr>
        <w:pStyle w:val="Prrafodelista"/>
        <w:spacing w:line="320" w:lineRule="exact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A12791">
        <w:rPr>
          <w:rFonts w:ascii="Arial" w:hAnsi="Arial" w:cs="Arial"/>
          <w:i/>
          <w:sz w:val="22"/>
          <w:szCs w:val="22"/>
        </w:rPr>
        <w:t>c) Las universidades públicas de la Comunidad.</w:t>
      </w:r>
    </w:p>
    <w:p w:rsidR="00EE7E71" w:rsidRPr="00A12791" w:rsidRDefault="00EE7E71" w:rsidP="00EE7E71">
      <w:pPr>
        <w:pStyle w:val="Prrafodelista"/>
        <w:spacing w:line="320" w:lineRule="exact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A12791">
        <w:rPr>
          <w:rFonts w:ascii="Arial" w:hAnsi="Arial" w:cs="Arial"/>
          <w:i/>
          <w:sz w:val="22"/>
          <w:szCs w:val="22"/>
        </w:rPr>
        <w:t>d) Las fundaciones públicas de la Comunidad.</w:t>
      </w:r>
    </w:p>
    <w:p w:rsidR="00EE7E71" w:rsidRPr="00A12791" w:rsidRDefault="00EE7E71" w:rsidP="00EE7E71">
      <w:pPr>
        <w:pStyle w:val="Prrafodelista"/>
        <w:spacing w:line="320" w:lineRule="exact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A12791">
        <w:rPr>
          <w:rFonts w:ascii="Arial" w:hAnsi="Arial" w:cs="Arial"/>
          <w:i/>
          <w:sz w:val="22"/>
          <w:szCs w:val="22"/>
        </w:rPr>
        <w:t>e) Los consorcios adscritos a la Comunidad.</w:t>
      </w:r>
    </w:p>
    <w:p w:rsidR="00EE7E71" w:rsidRPr="00A12791" w:rsidRDefault="00EE7E71" w:rsidP="00EE7E71">
      <w:pPr>
        <w:pStyle w:val="Prrafodelista"/>
        <w:spacing w:line="320" w:lineRule="exact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A12791">
        <w:rPr>
          <w:rFonts w:ascii="Arial" w:hAnsi="Arial" w:cs="Arial"/>
          <w:i/>
          <w:sz w:val="22"/>
          <w:szCs w:val="22"/>
        </w:rPr>
        <w:t>f) El resto de entes e instituciones públicos creados por la Comunidad o dependientes de ella y cualesquiera otras personas jurídicas en las que participe mayoritariamente.</w:t>
      </w:r>
    </w:p>
    <w:p w:rsidR="00EE7E71" w:rsidRPr="00EE7E71" w:rsidRDefault="00EE7E71" w:rsidP="00EE7E71">
      <w:pPr>
        <w:pStyle w:val="Prrafodelista"/>
        <w:spacing w:line="320" w:lineRule="exact"/>
        <w:ind w:left="1080"/>
        <w:jc w:val="both"/>
        <w:rPr>
          <w:rFonts w:ascii="Arial" w:hAnsi="Arial" w:cs="Arial"/>
          <w:sz w:val="22"/>
          <w:szCs w:val="22"/>
        </w:rPr>
      </w:pPr>
      <w:r w:rsidRPr="00A12791">
        <w:rPr>
          <w:rFonts w:ascii="Arial" w:hAnsi="Arial" w:cs="Arial"/>
          <w:i/>
          <w:sz w:val="22"/>
          <w:szCs w:val="22"/>
        </w:rPr>
        <w:t>g) Los órganos con dotación diferenciada en los Presupuestos Generales de la Comunidad no incluidos en los apartados anteriores</w:t>
      </w:r>
      <w:r w:rsidRPr="00EE7E71">
        <w:rPr>
          <w:rFonts w:ascii="Arial" w:hAnsi="Arial" w:cs="Arial"/>
          <w:sz w:val="22"/>
          <w:szCs w:val="22"/>
        </w:rPr>
        <w:t>.”</w:t>
      </w:r>
    </w:p>
    <w:p w:rsidR="00EE7E71" w:rsidRDefault="00EE7E71" w:rsidP="00171EAD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 </w:t>
      </w:r>
      <w:r w:rsidRPr="00EE7E71">
        <w:rPr>
          <w:rFonts w:ascii="Arial" w:hAnsi="Arial" w:cs="Arial"/>
          <w:sz w:val="22"/>
          <w:szCs w:val="22"/>
        </w:rPr>
        <w:t>acuerdo con la redacción actual del citado artículo</w:t>
      </w:r>
      <w:r>
        <w:rPr>
          <w:rFonts w:ascii="Arial" w:hAnsi="Arial" w:cs="Arial"/>
          <w:sz w:val="22"/>
          <w:szCs w:val="22"/>
        </w:rPr>
        <w:t xml:space="preserve"> 2 de la </w:t>
      </w:r>
      <w:r w:rsidR="00A1279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ey 2/2006, de 3 de mayo, la remisión que se hace al artículo 2</w:t>
      </w:r>
      <w:r w:rsidR="00A127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f) de la </w:t>
      </w:r>
      <w:r w:rsidR="00A1279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ey 2/2006, en relación a los consorcios dotados con personalidad</w:t>
      </w:r>
      <w:r w:rsidR="00A127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es correcta.</w:t>
      </w:r>
    </w:p>
    <w:p w:rsidR="00EE7E71" w:rsidRPr="00EE7E71" w:rsidRDefault="00EE7E71" w:rsidP="00171EAD">
      <w:pPr>
        <w:pStyle w:val="Prrafodelista"/>
        <w:spacing w:line="320" w:lineRule="exact"/>
        <w:ind w:left="1080"/>
        <w:jc w:val="both"/>
        <w:rPr>
          <w:rFonts w:ascii="Arial" w:hAnsi="Arial" w:cs="Arial"/>
          <w:sz w:val="22"/>
          <w:szCs w:val="22"/>
        </w:rPr>
      </w:pPr>
    </w:p>
    <w:p w:rsidR="00EE7E71" w:rsidRDefault="00EE7E71" w:rsidP="00171EAD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artículo 7.6</w:t>
      </w:r>
      <w:r w:rsidR="00171EAD">
        <w:rPr>
          <w:rFonts w:ascii="Arial" w:hAnsi="Arial" w:cs="Arial"/>
          <w:sz w:val="22"/>
          <w:szCs w:val="22"/>
        </w:rPr>
        <w:t xml:space="preserve"> y 11.1 del p</w:t>
      </w:r>
      <w:r>
        <w:rPr>
          <w:rFonts w:ascii="Arial" w:hAnsi="Arial" w:cs="Arial"/>
          <w:sz w:val="22"/>
          <w:szCs w:val="22"/>
        </w:rPr>
        <w:t>royecto se prevé</w:t>
      </w:r>
      <w:r w:rsidR="00A12791">
        <w:rPr>
          <w:rFonts w:ascii="Arial" w:hAnsi="Arial" w:cs="Arial"/>
          <w:sz w:val="22"/>
          <w:szCs w:val="22"/>
        </w:rPr>
        <w:t xml:space="preserve">, respecto de acuerdos  en materia de acción exterior, </w:t>
      </w:r>
      <w:r>
        <w:rPr>
          <w:rFonts w:ascii="Arial" w:hAnsi="Arial" w:cs="Arial"/>
          <w:sz w:val="22"/>
          <w:szCs w:val="22"/>
        </w:rPr>
        <w:t xml:space="preserve"> la remisión del informe previo</w:t>
      </w:r>
      <w:r w:rsidR="00A12791">
        <w:rPr>
          <w:rFonts w:ascii="Arial" w:hAnsi="Arial" w:cs="Arial"/>
          <w:sz w:val="22"/>
          <w:szCs w:val="22"/>
        </w:rPr>
        <w:t xml:space="preserve"> y en su caso d</w:t>
      </w:r>
      <w:r>
        <w:rPr>
          <w:rFonts w:ascii="Arial" w:hAnsi="Arial" w:cs="Arial"/>
          <w:sz w:val="22"/>
          <w:szCs w:val="22"/>
        </w:rPr>
        <w:t>e</w:t>
      </w:r>
      <w:r w:rsidR="00A127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inscripción</w:t>
      </w:r>
      <w:r w:rsidR="00A12791">
        <w:rPr>
          <w:rFonts w:ascii="Arial" w:hAnsi="Arial" w:cs="Arial"/>
          <w:sz w:val="22"/>
          <w:szCs w:val="22"/>
        </w:rPr>
        <w:t xml:space="preserve"> al órgano directivo competente de la coordinación de actuaciones en materia de acción exterior de la Junta. Convendría indicar a qué efectos se considera procede la mencionada remisión.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12791" w:rsidRPr="00A12791" w:rsidRDefault="00A12791" w:rsidP="00171EAD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12791" w:rsidRDefault="00A12791" w:rsidP="00171EAD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último se propone se valore el regular la posible situación en la que se pida la inscripción de un convenio o de otro instrumento afín ya firmado sin que previamente se haya procedido a solicitar el informe previo respecto al mismo.</w:t>
      </w:r>
    </w:p>
    <w:p w:rsidR="009A4CF9" w:rsidRPr="009A4CF9" w:rsidRDefault="009A4CF9" w:rsidP="009A4CF9">
      <w:pPr>
        <w:pStyle w:val="Prrafodelista"/>
        <w:rPr>
          <w:rFonts w:ascii="Arial" w:hAnsi="Arial" w:cs="Arial"/>
          <w:sz w:val="22"/>
          <w:szCs w:val="22"/>
        </w:rPr>
      </w:pPr>
    </w:p>
    <w:p w:rsidR="009A4CF9" w:rsidRDefault="009A4CF9" w:rsidP="009A4CF9">
      <w:pPr>
        <w:spacing w:line="320" w:lineRule="exact"/>
        <w:rPr>
          <w:rFonts w:ascii="Arial" w:hAnsi="Arial" w:cs="Arial"/>
          <w:sz w:val="22"/>
          <w:szCs w:val="22"/>
        </w:rPr>
      </w:pPr>
    </w:p>
    <w:p w:rsidR="009A4CF9" w:rsidRDefault="009A4CF9" w:rsidP="009A4CF9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res</w:t>
      </w:r>
      <w:r>
        <w:rPr>
          <w:rFonts w:ascii="Arial" w:hAnsi="Arial" w:cs="Arial"/>
          <w:sz w:val="22"/>
          <w:szCs w:val="22"/>
        </w:rPr>
        <w:t xml:space="preserve">pecta a la tramitación del </w:t>
      </w:r>
      <w:r>
        <w:rPr>
          <w:rFonts w:ascii="Arial" w:hAnsi="Arial" w:cs="Arial"/>
          <w:sz w:val="22"/>
          <w:szCs w:val="22"/>
        </w:rPr>
        <w:t>proyecto, se recuerda la necesidad del informe de la Dirección General de Presupuestos</w:t>
      </w:r>
      <w:r>
        <w:rPr>
          <w:rFonts w:ascii="Arial" w:hAnsi="Arial" w:cs="Arial"/>
          <w:sz w:val="22"/>
          <w:szCs w:val="22"/>
        </w:rPr>
        <w:t>, Fondos Europeos</w:t>
      </w:r>
      <w:r>
        <w:rPr>
          <w:rFonts w:ascii="Arial" w:hAnsi="Arial" w:cs="Arial"/>
          <w:sz w:val="22"/>
          <w:szCs w:val="22"/>
        </w:rPr>
        <w:t xml:space="preserve"> y Estadística sobre su repercusión y efectos en los presupuestos generales de la Comunidad y de las previsiones de financiación y gastos que sean necesarios, según se establece en el artículo 76.2 de la Ley 2/2006, de 3 de mayo, de la Hacienda y del Sector Público de la Comunidad de Castilla y León.</w:t>
      </w:r>
    </w:p>
    <w:p w:rsidR="000A5269" w:rsidRPr="000A5269" w:rsidRDefault="000A5269" w:rsidP="001E5522">
      <w:pPr>
        <w:spacing w:line="320" w:lineRule="exact"/>
        <w:rPr>
          <w:rFonts w:ascii="Arial" w:hAnsi="Arial" w:cs="Arial"/>
          <w:sz w:val="22"/>
          <w:szCs w:val="22"/>
        </w:rPr>
      </w:pPr>
    </w:p>
    <w:p w:rsidR="00B3125C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A225CE" w:rsidRDefault="006D6FF7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 JEFE</w:t>
      </w:r>
      <w:r w:rsidR="003665D7">
        <w:rPr>
          <w:rFonts w:ascii="Arial" w:hAnsi="Arial"/>
          <w:sz w:val="22"/>
          <w:szCs w:val="22"/>
        </w:rPr>
        <w:t xml:space="preserve"> </w:t>
      </w:r>
      <w:r w:rsidR="00B27B1F">
        <w:rPr>
          <w:rFonts w:ascii="Arial" w:hAnsi="Arial"/>
          <w:sz w:val="22"/>
          <w:szCs w:val="22"/>
        </w:rPr>
        <w:t>DEL</w:t>
      </w:r>
      <w:r w:rsidR="007C3090" w:rsidRPr="00113159">
        <w:rPr>
          <w:rFonts w:ascii="Arial" w:hAnsi="Arial"/>
          <w:sz w:val="22"/>
          <w:szCs w:val="22"/>
        </w:rPr>
        <w:t xml:space="preserve"> SERVICIO DE</w:t>
      </w:r>
    </w:p>
    <w:p w:rsidR="007C3090" w:rsidRPr="00113159" w:rsidRDefault="007C3090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 w:rsidRPr="00113159">
        <w:rPr>
          <w:rFonts w:ascii="Arial" w:hAnsi="Arial"/>
          <w:sz w:val="22"/>
          <w:szCs w:val="22"/>
        </w:rPr>
        <w:t>NORMATIVA Y PROCEDIMIENTO</w:t>
      </w:r>
    </w:p>
    <w:p w:rsidR="0007546B" w:rsidRDefault="0007546B" w:rsidP="009A4CF9">
      <w:pPr>
        <w:spacing w:after="120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9A4CF9" w:rsidRDefault="009A4CF9" w:rsidP="00B3125C">
      <w:pPr>
        <w:spacing w:after="12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1E5522" w:rsidRDefault="001E5522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0A5269" w:rsidRDefault="000A5269" w:rsidP="00B3125C">
      <w:pPr>
        <w:spacing w:after="120"/>
        <w:jc w:val="center"/>
        <w:rPr>
          <w:rFonts w:ascii="Arial" w:hAnsi="Arial"/>
          <w:sz w:val="21"/>
          <w:szCs w:val="21"/>
        </w:rPr>
      </w:pPr>
    </w:p>
    <w:p w:rsidR="0069732C" w:rsidRPr="00211939" w:rsidRDefault="00211939" w:rsidP="00211939">
      <w:pPr>
        <w:rPr>
          <w:rFonts w:ascii="Arial" w:hAnsi="Arial"/>
          <w:b/>
          <w:sz w:val="20"/>
          <w:szCs w:val="20"/>
        </w:rPr>
      </w:pPr>
      <w:r w:rsidRPr="00357306">
        <w:rPr>
          <w:rFonts w:ascii="Arial" w:hAnsi="Arial"/>
          <w:b/>
          <w:sz w:val="20"/>
          <w:szCs w:val="20"/>
        </w:rPr>
        <w:t>ILMO. SR. SECRETARIO GENERAL DE LA CONSEJERÍA DE ECONOMÍA Y HACIENDA</w:t>
      </w:r>
    </w:p>
    <w:sectPr w:rsidR="0069732C" w:rsidRPr="00211939" w:rsidSect="00777D20">
      <w:headerReference w:type="default" r:id="rId8"/>
      <w:pgSz w:w="11906" w:h="16838"/>
      <w:pgMar w:top="252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95" w:rsidRDefault="00523F95">
      <w:pPr>
        <w:spacing w:after="0" w:line="240" w:lineRule="auto"/>
      </w:pPr>
      <w:r>
        <w:separator/>
      </w:r>
    </w:p>
  </w:endnote>
  <w:endnote w:type="continuationSeparator" w:id="0">
    <w:p w:rsidR="00523F95" w:rsidRDefault="005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95" w:rsidRDefault="00523F95">
      <w:pPr>
        <w:spacing w:after="0" w:line="240" w:lineRule="auto"/>
      </w:pPr>
      <w:r>
        <w:separator/>
      </w:r>
    </w:p>
  </w:footnote>
  <w:footnote w:type="continuationSeparator" w:id="0">
    <w:p w:rsidR="00523F95" w:rsidRDefault="005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20" w:rsidRDefault="007C3090" w:rsidP="00777D20">
    <w:pPr>
      <w:pStyle w:val="Encabezado"/>
      <w:ind w:left="-567"/>
    </w:pPr>
    <w:r>
      <w:rPr>
        <w:noProof/>
      </w:rPr>
      <w:drawing>
        <wp:inline distT="0" distB="0" distL="0" distR="0">
          <wp:extent cx="181356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20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Consejería de Economía y Hacienda</w:t>
    </w:r>
  </w:p>
  <w:p w:rsidR="0041714F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Secretaría General</w:t>
    </w:r>
  </w:p>
  <w:p w:rsidR="00EE7E71" w:rsidRDefault="00EE7E71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</w:p>
  <w:p w:rsidR="00EE7E71" w:rsidRPr="006F5739" w:rsidRDefault="00EE7E71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73"/>
    <w:multiLevelType w:val="hybridMultilevel"/>
    <w:tmpl w:val="89DC4D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E0978"/>
    <w:multiLevelType w:val="hybridMultilevel"/>
    <w:tmpl w:val="DF7C18B4"/>
    <w:lvl w:ilvl="0" w:tplc="623E3D6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0"/>
    <w:rsid w:val="0003578F"/>
    <w:rsid w:val="00044DA1"/>
    <w:rsid w:val="00065339"/>
    <w:rsid w:val="0007546B"/>
    <w:rsid w:val="000A349E"/>
    <w:rsid w:val="000A5269"/>
    <w:rsid w:val="000A7DAB"/>
    <w:rsid w:val="0010342E"/>
    <w:rsid w:val="001232B6"/>
    <w:rsid w:val="001265C6"/>
    <w:rsid w:val="0015705A"/>
    <w:rsid w:val="00171EAD"/>
    <w:rsid w:val="0019209F"/>
    <w:rsid w:val="001B2C85"/>
    <w:rsid w:val="001B6BC7"/>
    <w:rsid w:val="001B6D3F"/>
    <w:rsid w:val="001E5522"/>
    <w:rsid w:val="001F585F"/>
    <w:rsid w:val="00211939"/>
    <w:rsid w:val="002338CB"/>
    <w:rsid w:val="002455B6"/>
    <w:rsid w:val="00286757"/>
    <w:rsid w:val="00296605"/>
    <w:rsid w:val="002A1BE9"/>
    <w:rsid w:val="002C7BC1"/>
    <w:rsid w:val="003665D7"/>
    <w:rsid w:val="003826F4"/>
    <w:rsid w:val="0038392C"/>
    <w:rsid w:val="0038641C"/>
    <w:rsid w:val="003B7A93"/>
    <w:rsid w:val="003D20E7"/>
    <w:rsid w:val="003D5981"/>
    <w:rsid w:val="00421A73"/>
    <w:rsid w:val="00435714"/>
    <w:rsid w:val="00440ED0"/>
    <w:rsid w:val="004741DA"/>
    <w:rsid w:val="00480593"/>
    <w:rsid w:val="0049394D"/>
    <w:rsid w:val="004A1E9D"/>
    <w:rsid w:val="004B5BC5"/>
    <w:rsid w:val="004C1732"/>
    <w:rsid w:val="004E6899"/>
    <w:rsid w:val="00523F95"/>
    <w:rsid w:val="0055707E"/>
    <w:rsid w:val="00574937"/>
    <w:rsid w:val="00582A3C"/>
    <w:rsid w:val="0060257E"/>
    <w:rsid w:val="00606D21"/>
    <w:rsid w:val="00617713"/>
    <w:rsid w:val="00625CD5"/>
    <w:rsid w:val="0063160B"/>
    <w:rsid w:val="006718BB"/>
    <w:rsid w:val="0069732C"/>
    <w:rsid w:val="006C3CBC"/>
    <w:rsid w:val="006D0CC7"/>
    <w:rsid w:val="006D6FF7"/>
    <w:rsid w:val="00704314"/>
    <w:rsid w:val="00734722"/>
    <w:rsid w:val="0076119C"/>
    <w:rsid w:val="007643D9"/>
    <w:rsid w:val="00767223"/>
    <w:rsid w:val="007673B3"/>
    <w:rsid w:val="00793C3E"/>
    <w:rsid w:val="007A47FE"/>
    <w:rsid w:val="007C3090"/>
    <w:rsid w:val="007F4DE0"/>
    <w:rsid w:val="007F7315"/>
    <w:rsid w:val="00802E0F"/>
    <w:rsid w:val="00844CA1"/>
    <w:rsid w:val="008474FF"/>
    <w:rsid w:val="00850ECE"/>
    <w:rsid w:val="00861F1F"/>
    <w:rsid w:val="00867131"/>
    <w:rsid w:val="00877FC0"/>
    <w:rsid w:val="0089500E"/>
    <w:rsid w:val="008F704B"/>
    <w:rsid w:val="009011B1"/>
    <w:rsid w:val="0095112C"/>
    <w:rsid w:val="00977E68"/>
    <w:rsid w:val="0099462D"/>
    <w:rsid w:val="009A4CF9"/>
    <w:rsid w:val="00A107ED"/>
    <w:rsid w:val="00A12791"/>
    <w:rsid w:val="00A225CE"/>
    <w:rsid w:val="00A74BDD"/>
    <w:rsid w:val="00AA14BB"/>
    <w:rsid w:val="00AD6742"/>
    <w:rsid w:val="00B124FA"/>
    <w:rsid w:val="00B16BBA"/>
    <w:rsid w:val="00B27B1F"/>
    <w:rsid w:val="00B3125C"/>
    <w:rsid w:val="00B43D60"/>
    <w:rsid w:val="00B44FB4"/>
    <w:rsid w:val="00B51600"/>
    <w:rsid w:val="00B60D69"/>
    <w:rsid w:val="00B77FA1"/>
    <w:rsid w:val="00BC0C01"/>
    <w:rsid w:val="00BD06E8"/>
    <w:rsid w:val="00C22C33"/>
    <w:rsid w:val="00C36A41"/>
    <w:rsid w:val="00C572E9"/>
    <w:rsid w:val="00CC20D7"/>
    <w:rsid w:val="00CD1514"/>
    <w:rsid w:val="00CE02BF"/>
    <w:rsid w:val="00CF0288"/>
    <w:rsid w:val="00D3050A"/>
    <w:rsid w:val="00D431CD"/>
    <w:rsid w:val="00D80587"/>
    <w:rsid w:val="00DC4029"/>
    <w:rsid w:val="00DE1D9D"/>
    <w:rsid w:val="00DF3551"/>
    <w:rsid w:val="00DF5D44"/>
    <w:rsid w:val="00E43299"/>
    <w:rsid w:val="00E813F9"/>
    <w:rsid w:val="00E81CED"/>
    <w:rsid w:val="00E83E9E"/>
    <w:rsid w:val="00E94FB1"/>
    <w:rsid w:val="00EA602A"/>
    <w:rsid w:val="00EE071A"/>
    <w:rsid w:val="00EE0935"/>
    <w:rsid w:val="00EE7E71"/>
    <w:rsid w:val="00EF1E52"/>
    <w:rsid w:val="00F0398E"/>
    <w:rsid w:val="00F21C67"/>
    <w:rsid w:val="00F56472"/>
    <w:rsid w:val="00FA3C19"/>
    <w:rsid w:val="00FA4D21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493BC-BC86-4419-85B0-5D58772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90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C3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3090"/>
    <w:pPr>
      <w:spacing w:before="120" w:after="120" w:line="360" w:lineRule="atLeast"/>
    </w:pPr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C3090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3090"/>
    <w:pPr>
      <w:spacing w:after="0" w:line="240" w:lineRule="auto"/>
      <w:ind w:left="720"/>
      <w:contextualSpacing/>
      <w:jc w:val="left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90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EE7E71"/>
    <w:pPr>
      <w:spacing w:before="100" w:beforeAutospacing="1" w:after="100" w:afterAutospacing="1" w:line="240" w:lineRule="auto"/>
      <w:jc w:val="left"/>
    </w:pPr>
  </w:style>
  <w:style w:type="paragraph" w:customStyle="1" w:styleId="parrafo">
    <w:name w:val="parrafo"/>
    <w:basedOn w:val="Normal"/>
    <w:rsid w:val="00EE7E71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E864-81C6-44DA-AF8C-D84EC391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CENTURION</dc:creator>
  <cp:lastModifiedBy>Luis Gonzalez Romo</cp:lastModifiedBy>
  <cp:revision>24</cp:revision>
  <cp:lastPrinted>2022-06-09T07:13:00Z</cp:lastPrinted>
  <dcterms:created xsi:type="dcterms:W3CDTF">2019-09-18T11:17:00Z</dcterms:created>
  <dcterms:modified xsi:type="dcterms:W3CDTF">2022-09-21T07:42:00Z</dcterms:modified>
</cp:coreProperties>
</file>